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C645C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094C3E1C">
      <w:pPr>
        <w:pStyle w:val="9"/>
        <w:keepNext w:val="0"/>
        <w:keepLines w:val="0"/>
        <w:pageBreakBefore w:val="0"/>
        <w:widowControl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6DAB6FF7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29CB3301">
      <w:pPr>
        <w:pStyle w:val="9"/>
        <w:keepNext w:val="0"/>
        <w:keepLines w:val="0"/>
        <w:pageBreakBefore w:val="0"/>
        <w:widowControl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2ABEBF52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6066E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鸡环审〔2025〕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7543A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</w:rPr>
      </w:pPr>
    </w:p>
    <w:p w14:paraId="7E4F424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shd w:val="clear" w:color="auto" w:fill="auto"/>
        </w:rPr>
        <w:t>关</w:t>
      </w: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</w:rPr>
        <w:t>于</w:t>
      </w: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  <w:lang w:eastAsia="zh-CN"/>
        </w:rPr>
        <w:t>东海煤矿燃煤锅炉改造项目</w:t>
      </w:r>
    </w:p>
    <w:p w14:paraId="4871E27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  <w:lang w:eastAsia="zh-CN"/>
        </w:rPr>
        <w:t>环境影响报告表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shd w:val="clear" w:color="auto" w:fill="auto"/>
        </w:rPr>
        <w:t>的批复</w:t>
      </w:r>
    </w:p>
    <w:p w14:paraId="67DB4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51E6C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黑龙江龙煤鸡西矿业有限责任公司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10677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你单位《关于申请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东海煤矿燃煤锅炉改造项目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环境影响评价文件的函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》及相关材料收悉，经研究，批复如下。</w:t>
      </w:r>
    </w:p>
    <w:p w14:paraId="35B8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一、项目基本情况</w:t>
      </w:r>
    </w:p>
    <w:p w14:paraId="3AB4A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该项目属改建工程，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位于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鸡西市鸡东县东海镇东海煤矿。本项目不新增占地，在原有锅炉房内建设。项目拆除原有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t/h燃煤锅炉，将现有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3台10t/h燃煤锅炉改造为3台10t/h生物质锅炉，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新建配套环保工程、储运工程等。项目总投资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万元。</w:t>
      </w:r>
    </w:p>
    <w:p w14:paraId="1365C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在全面落实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东海煤矿燃煤锅炉改造项目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环境影响报告表》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（以下简称《报告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和本批复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提出的各项生态环境保护措施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，对环境的不利影响可以得到缓解和控制。我局原则同意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表》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中的环境影响评价总体结论和各项生态环境保护措施。</w:t>
      </w:r>
    </w:p>
    <w:p w14:paraId="6D31C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二、项目建设的主要生态环境影响及保护措施</w:t>
      </w:r>
    </w:p>
    <w:p w14:paraId="09A56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（一）施工期环境影响及保护措施。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施工场地应设置围挡，洒水降尘，运输车辆应加盖篷布，厂界颗粒物浓度应符合《大气污染物综合排放标准》（GB16297-1996）无组织排放要求。施工期生活污水排入厂区现有防渗旱厕，定期清掏，外运堆肥，施工废水经隔油沉淀池处理后用于洒水降尘。选用低噪声设备，加设隔声屏障，合理安排施工时间，噪声应符合《建筑施工场界环境噪声排放标准》（GB12523-2011）标准要求。施工过程产生建筑垃圾应及时送至指定地点处置，淘汰及改造产生的废旧燃煤锅炉、水膜除尘器拆除后均外售；沉淀池产生的油污经专用容器收集后直接由有资质单位回收处理。原有灰渣场地内的灰渣，全部外售综合利用。生活垃圾集中收集，定期由市政部门统一清运。</w:t>
      </w:r>
    </w:p>
    <w:p w14:paraId="209B4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（二）大气环境影响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及保护措施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项目锅炉烟气经多管陶瓷除尘器和布袋除尘器处理后，通过45m高烟囱排放，污染物排放浓度应符合《锅炉大气污染物排放标准》（GB13271-2014）表2排放限值要求。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生物质燃料存储于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燃料库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，并进行苫盖，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定期洒水降尘，厂界颗粒物排放浓度应符合《大气污染物综合排放标准》（GB16297-1996）表2中无组织排放监控浓度限值要求。</w:t>
      </w:r>
    </w:p>
    <w:p w14:paraId="4027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（三）水环境影响及保护措施。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项目不新增劳动定员，不新增生活污水。锅炉排污水及软化处理废水暂存厂区内60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防渗储水罐，定期拉运至东海生活污水处理厂处理。项目应严格落实地下水保护措施，做好新建燃料库及灰渣库等区域防渗处理。</w:t>
      </w:r>
    </w:p>
    <w:p w14:paraId="03A31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（四）声环境影响及保护措施。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项目应选用低噪声设备，采取隔声、降噪、减振等措施，厂界噪声应符合《工业企业厂界环境噪声排放标准》（GB12348-2008）中2类标准限值要求。</w:t>
      </w:r>
    </w:p>
    <w:p w14:paraId="26435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（五）固体废物环境影响及保护措施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除尘器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收尘、锅炉炉渣集中密闭收集袋装后暂存于灰渣库，定期外售综合利用；废离子交换树脂、废布袋均由厂家定期更换回收，不在厂区内堆存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设备维修废机油、废含油抹布和手套暂存于东海煤矿材料科危险废物贮存库内，定期交有资质单位处理，固体废物处置应符合《一般工业固体废物贮存和填埋污染控制标准》（GB18599-2020）、《危险废物贮存污染控制标准》（GB18597-2023）要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CF0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（六）环境风险及保护措施。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项目应严格落实《报告表》中提出的风险防范措施，编制环境风险应急预案，加强风险点位预警、预防，防止风险事故发生。</w:t>
      </w:r>
    </w:p>
    <w:p w14:paraId="60B1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你单位应建立企业内部生态环境管理机构和制度，明确人员和职责，加强生态环境管理。项目实施必须严格执行环境保护设施与主体工程同时设计、同时施工、同时投产使用的环境保护“三同时”制度。在启动生产设施或者在实际排污之前，建设单位应依法履行排污许可手续。项目建成后，应按规定程序实施竣工环境保护验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419DF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》经批准后，项目的性质、规模、地点或者污染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防治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措施发生重大变动的，应当重新报批该项目的《报告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》。自《报告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》批复文件批准之日起，如超过5年方决定开工建设的，《报告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》应当重新审核。</w:t>
      </w:r>
    </w:p>
    <w:p w14:paraId="6F265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、鸡西市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鸡东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生态环境局组织开展该项目环境保护事中事后监管工作。你单位应在收到本批复后10日内，将批准后的《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报告表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》和批复文件送至鸡西市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鸡东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生态环境局，并按规定接受各级生态环境主管部门的日常监督检查。</w:t>
      </w:r>
      <w:r>
        <w:rPr>
          <w:rFonts w:hint="default" w:ascii="Times New Roman" w:hAnsi="Times New Roman" w:eastAsia="仿宋_GB2312" w:cs="Times New Roman"/>
          <w:color w:val="2F5597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 w14:paraId="581EB2A7">
      <w:pPr>
        <w:pStyle w:val="9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601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789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723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鸡西市生态环境局</w:t>
      </w:r>
    </w:p>
    <w:p w14:paraId="0A17F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2857DC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288CFF6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F441F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7205C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3BB64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6131B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214E7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A09CE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4D870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371E7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DBCCE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ABFA75"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抄 送：鸡西市生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态环境保护综合行政执法局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鸡西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市鸡东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生态环境局</w:t>
      </w:r>
    </w:p>
    <w:p w14:paraId="3FC17A4A"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鸡西市生态环境局办公室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（法规科）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印发</w:t>
      </w:r>
    </w:p>
    <w:p w14:paraId="7B438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Mus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0160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D55EC6D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tpqi0AAAAAMBAAAPAAAAAAAAAAEAIAAAACIAAABkcnMvZG93bnJldi54&#10;bWxQSwECFAAUAAAACACHTuJA3iJrBQICAADzAwAADgAAAAAAAAABACAAAAAf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0D55EC6D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ZkYTY0YzY2NWYyNzQ0NTEzMmJlMWQ5ZTU0MzcwMTEifQ=="/>
  </w:docVars>
  <w:rsids>
    <w:rsidRoot w:val="00000000"/>
    <w:rsid w:val="0FFF51AC"/>
    <w:rsid w:val="657E06C6"/>
    <w:rsid w:val="6EF74720"/>
    <w:rsid w:val="6FA53B03"/>
    <w:rsid w:val="9FD6A68E"/>
    <w:rsid w:val="B7FF5A99"/>
    <w:rsid w:val="F5971CDF"/>
    <w:rsid w:val="FDBD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qFormat/>
    <w:uiPriority w:val="0"/>
    <w:pPr>
      <w:ind w:firstLine="420"/>
    </w:pPr>
  </w:style>
  <w:style w:type="character" w:customStyle="1" w:styleId="14">
    <w:name w:val="heading 1 Char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3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3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paragraph" w:styleId="18">
    <w:name w:val="List Paragraph"/>
    <w:basedOn w:val="1"/>
    <w:qFormat/>
    <w:uiPriority w:val="0"/>
    <w:pPr>
      <w:ind w:firstLine="200" w:firstLineChars="200"/>
    </w:pPr>
  </w:style>
  <w:style w:type="paragraph" w:customStyle="1" w:styleId="19">
    <w:name w:val="表格(新)"/>
    <w:basedOn w:val="1"/>
    <w:qFormat/>
    <w:uiPriority w:val="0"/>
    <w:pPr>
      <w:adjustRightInd w:val="0"/>
      <w:snapToGrid w:val="0"/>
      <w:spacing w:line="240" w:lineRule="auto"/>
      <w:ind w:firstLine="0"/>
      <w:jc w:val="center"/>
    </w:pPr>
    <w:rPr>
      <w:rFonts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2B8B0-D8CB-4C83-823D-67E66A0489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0</Words>
  <Characters>1639</Characters>
  <Lines>0</Lines>
  <Paragraphs>34</Paragraphs>
  <TotalTime>13</TotalTime>
  <ScaleCrop>false</ScaleCrop>
  <LinksUpToDate>false</LinksUpToDate>
  <CharactersWithSpaces>2186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2024-08-11T11:25:00Z</dcterms:created>
  <dc:creator>01</dc:creator>
  <cp:lastModifiedBy>greatwall</cp:lastModifiedBy>
  <cp:lastPrinted>2025-10-28T09:12:03Z</cp:lastPrinted>
  <dcterms:modified xsi:type="dcterms:W3CDTF">2025-10-28T09:19:54Z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4ED637D6579F9EFA792BFB68D88C46C1_43</vt:lpwstr>
  </property>
</Properties>
</file>